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7477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3FE41D4" w14:textId="77777777" w:rsidR="00D63F71" w:rsidRDefault="00D63F71">
      <w:pPr>
        <w:spacing w:line="420" w:lineRule="exact"/>
        <w:jc w:val="center"/>
        <w:rPr>
          <w:rFonts w:ascii="Arial" w:hAnsi="Arial" w:cs="Arial"/>
          <w:b/>
          <w:snapToGrid/>
          <w:sz w:val="32"/>
          <w:szCs w:val="32"/>
        </w:rPr>
      </w:pPr>
    </w:p>
    <w:p w14:paraId="0C303D6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1B16F84" w14:textId="77777777" w:rsidR="00B93B3B" w:rsidRPr="00B93B3B" w:rsidRDefault="00B93B3B" w:rsidP="00B93B3B">
      <w:pPr>
        <w:spacing w:line="420" w:lineRule="exact"/>
        <w:jc w:val="both"/>
        <w:rPr>
          <w:rFonts w:ascii="Arial" w:hAnsi="Arial" w:cs="Arial"/>
          <w:snapToGrid/>
        </w:rPr>
      </w:pPr>
    </w:p>
    <w:p w14:paraId="7F0FEA8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0A51323"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7DBF450" w14:textId="77777777" w:rsidR="00D63F71" w:rsidRDefault="00D63F71">
      <w:pPr>
        <w:spacing w:line="420" w:lineRule="exact"/>
        <w:jc w:val="both"/>
        <w:rPr>
          <w:rFonts w:ascii="Arial" w:hAnsi="Arial" w:cs="Arial"/>
          <w:i/>
          <w:snapToGrid/>
          <w:color w:val="0099FF"/>
          <w:sz w:val="18"/>
          <w:szCs w:val="18"/>
        </w:rPr>
      </w:pPr>
    </w:p>
    <w:p w14:paraId="4C388FA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0EBFDC5" w14:textId="77777777" w:rsidR="00D63F71" w:rsidRDefault="00D63F71">
      <w:pPr>
        <w:pStyle w:val="aa"/>
        <w:spacing w:before="0" w:after="0" w:line="240" w:lineRule="auto"/>
        <w:jc w:val="left"/>
        <w:rPr>
          <w:rFonts w:ascii="Arial" w:hAnsi="Arial" w:cs="Arial"/>
          <w:bCs w:val="0"/>
          <w:sz w:val="21"/>
          <w:szCs w:val="21"/>
        </w:rPr>
      </w:pPr>
    </w:p>
    <w:p w14:paraId="68732AF5"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hunspell-gd 3.3</w:t>
      </w:r>
    </w:p>
    <w:p w14:paraId="2543E248" w14:textId="77777777" w:rsidR="00D63F71" w:rsidRDefault="005D0DE9">
      <w:pPr>
        <w:rPr>
          <w:rFonts w:ascii="Arial" w:hAnsi="Arial" w:cs="Arial"/>
          <w:b/>
        </w:rPr>
      </w:pPr>
      <w:r>
        <w:rPr>
          <w:rFonts w:ascii="Arial" w:hAnsi="Arial" w:cs="Arial"/>
          <w:b/>
        </w:rPr>
        <w:t xml:space="preserve">Copyright notice: </w:t>
      </w:r>
    </w:p>
    <w:p w14:paraId="41AC572B" w14:textId="77777777" w:rsidR="00A42983" w:rsidRPr="00A42983" w:rsidRDefault="00A42983" w:rsidP="00A42983">
      <w:pPr>
        <w:pStyle w:val="Default"/>
        <w:rPr>
          <w:rFonts w:ascii="宋体" w:hAnsi="宋体" w:cs="宋体"/>
          <w:sz w:val="22"/>
          <w:szCs w:val="22"/>
        </w:rPr>
      </w:pPr>
      <w:r w:rsidRPr="00A42983">
        <w:rPr>
          <w:rFonts w:ascii="宋体" w:hAnsi="宋体" w:cs="宋体"/>
          <w:sz w:val="22"/>
          <w:szCs w:val="22"/>
        </w:rPr>
        <w:t xml:space="preserve">Copyright 2010, 2011, 2012 Am </w:t>
      </w:r>
      <w:proofErr w:type="spellStart"/>
      <w:r w:rsidRPr="00A42983">
        <w:rPr>
          <w:rFonts w:ascii="宋体" w:hAnsi="宋体" w:cs="宋体"/>
          <w:sz w:val="22"/>
          <w:szCs w:val="22"/>
        </w:rPr>
        <w:t>Faclair</w:t>
      </w:r>
      <w:proofErr w:type="spellEnd"/>
      <w:r w:rsidRPr="00A42983">
        <w:rPr>
          <w:rFonts w:ascii="宋体" w:hAnsi="宋体" w:cs="宋体"/>
          <w:sz w:val="22"/>
          <w:szCs w:val="22"/>
        </w:rPr>
        <w:t xml:space="preserve"> </w:t>
      </w:r>
      <w:proofErr w:type="spellStart"/>
      <w:r w:rsidRPr="00A42983">
        <w:rPr>
          <w:rFonts w:ascii="宋体" w:hAnsi="宋体" w:cs="宋体"/>
          <w:sz w:val="22"/>
          <w:szCs w:val="22"/>
        </w:rPr>
        <w:t>Beag</w:t>
      </w:r>
      <w:proofErr w:type="spellEnd"/>
    </w:p>
    <w:p w14:paraId="0B98D322" w14:textId="77777777" w:rsidR="00A42983" w:rsidRPr="00A42983" w:rsidRDefault="00A42983" w:rsidP="00A42983">
      <w:pPr>
        <w:pStyle w:val="Default"/>
        <w:rPr>
          <w:rFonts w:ascii="宋体" w:hAnsi="宋体" w:cs="宋体"/>
          <w:sz w:val="22"/>
          <w:szCs w:val="22"/>
        </w:rPr>
      </w:pPr>
      <w:r w:rsidRPr="00A42983">
        <w:rPr>
          <w:rFonts w:ascii="宋体" w:hAnsi="宋体" w:cs="宋体"/>
          <w:sz w:val="22"/>
          <w:szCs w:val="22"/>
        </w:rPr>
        <w:t>Copyright (C) 2007 Free Software Foundation, Inc. http://fsf.org/</w:t>
      </w:r>
    </w:p>
    <w:p w14:paraId="00E86FE9" w14:textId="77777777" w:rsidR="00A42983" w:rsidRPr="00A42983" w:rsidRDefault="00A42983" w:rsidP="00A42983">
      <w:pPr>
        <w:pStyle w:val="Default"/>
        <w:rPr>
          <w:rFonts w:ascii="宋体" w:hAnsi="宋体" w:cs="宋体"/>
          <w:sz w:val="22"/>
          <w:szCs w:val="22"/>
        </w:rPr>
      </w:pPr>
      <w:r w:rsidRPr="00A42983">
        <w:rPr>
          <w:rFonts w:ascii="宋体" w:hAnsi="宋体" w:cs="宋体"/>
          <w:sz w:val="22"/>
          <w:szCs w:val="22"/>
        </w:rPr>
        <w:t>Copyright 2010 Kevin P. Scannell</w:t>
      </w:r>
    </w:p>
    <w:p w14:paraId="384C9F80" w14:textId="2C8F1798" w:rsidR="00D63F71" w:rsidRDefault="00A42983" w:rsidP="00A42983">
      <w:pPr>
        <w:pStyle w:val="Default"/>
        <w:rPr>
          <w:rFonts w:ascii="宋体" w:hAnsi="宋体" w:cs="宋体"/>
          <w:sz w:val="22"/>
          <w:szCs w:val="22"/>
        </w:rPr>
      </w:pPr>
      <w:r w:rsidRPr="00A42983">
        <w:rPr>
          <w:rFonts w:ascii="宋体" w:hAnsi="宋体" w:cs="宋体"/>
          <w:sz w:val="22"/>
          <w:szCs w:val="22"/>
        </w:rPr>
        <w:t>Copyright (c) 2006, 2008 Junio C Hamano</w:t>
      </w:r>
    </w:p>
    <w:p w14:paraId="0888ED60" w14:textId="77777777" w:rsidR="00A42983" w:rsidRDefault="00A42983" w:rsidP="00A42983">
      <w:pPr>
        <w:pStyle w:val="Default"/>
        <w:rPr>
          <w:rFonts w:ascii="宋体" w:hAnsi="宋体" w:cs="宋体"/>
          <w:sz w:val="22"/>
          <w:szCs w:val="22"/>
        </w:rPr>
      </w:pPr>
    </w:p>
    <w:p w14:paraId="6E8FC5F1" w14:textId="77777777" w:rsidR="00D63F71" w:rsidRDefault="005D0DE9">
      <w:pPr>
        <w:pStyle w:val="Default"/>
        <w:rPr>
          <w:rFonts w:ascii="宋体" w:hAnsi="宋体" w:cs="宋体"/>
          <w:sz w:val="22"/>
          <w:szCs w:val="22"/>
        </w:rPr>
      </w:pPr>
      <w:r>
        <w:rPr>
          <w:b/>
        </w:rPr>
        <w:t xml:space="preserve">License: </w:t>
      </w:r>
      <w:r>
        <w:rPr>
          <w:sz w:val="21"/>
        </w:rPr>
        <w:t>GPLv2+ and GPLv3+</w:t>
      </w:r>
    </w:p>
    <w:p w14:paraId="1CA9A397"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r>
        <w:rPr>
          <w:rFonts w:ascii="Times New Roman" w:hAnsi="Times New Roman"/>
          <w:sz w:val="21"/>
        </w:rPr>
        <w:lastRenderedPageBreak/>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r>
      <w:r>
        <w:rPr>
          <w:rFonts w:ascii="Times New Roman" w:hAnsi="Times New Roman"/>
          <w:sz w:val="21"/>
        </w:rPr>
        <w:lastRenderedPageBreak/>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 xml:space="preserve">a) Accompany it with the complete corresponding machine-readable source code, which must be distributed under </w:t>
      </w:r>
      <w:r>
        <w:rPr>
          <w:rFonts w:ascii="Times New Roman" w:hAnsi="Times New Roman"/>
          <w:sz w:val="21"/>
        </w:rPr>
        <w:lastRenderedPageBreak/>
        <w:t>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r>
      <w:r>
        <w:rPr>
          <w:rFonts w:ascii="Times New Roman" w:hAnsi="Times New Roman"/>
          <w:sz w:val="21"/>
        </w:rP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w:t>
      </w:r>
      <w:r>
        <w:rPr>
          <w:rFonts w:ascii="Times New Roman" w:hAnsi="Times New Roman"/>
          <w:sz w:val="21"/>
        </w:rPr>
        <w:lastRenderedPageBreak/>
        <w:t>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lastRenderedPageBreak/>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lastRenderedPageBreak/>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r>
      <w:r>
        <w:rPr>
          <w:rFonts w:ascii="Times New Roman" w:hAnsi="Times New Roman"/>
          <w:sz w:val="21"/>
        </w:rPr>
        <w:lastRenderedPageBreak/>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r>
      <w:r>
        <w:rPr>
          <w:rFonts w:ascii="Times New Roman" w:hAnsi="Times New Roman"/>
          <w:sz w:val="21"/>
        </w:rPr>
        <w:lastRenderedPageBreak/>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 xml:space="preserve">d) If the work has interactive user interfaces, each must display Appropriate Legal Notices; however, if the </w:t>
      </w:r>
      <w:r>
        <w:rPr>
          <w:rFonts w:ascii="Times New Roman" w:hAnsi="Times New Roman"/>
          <w:sz w:val="21"/>
        </w:rPr>
        <w:lastRenderedPageBreak/>
        <w:t>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 xml:space="preserve">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w:t>
      </w:r>
      <w:r>
        <w:rPr>
          <w:rFonts w:ascii="Times New Roman" w:hAnsi="Times New Roman"/>
          <w:sz w:val="21"/>
        </w:rPr>
        <w:lastRenderedPageBreak/>
        <w:t>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r>
      <w:r>
        <w:rPr>
          <w:rFonts w:ascii="Times New Roman" w:hAnsi="Times New Roman"/>
          <w:sz w:val="21"/>
        </w:rPr>
        <w:lastRenderedPageBreak/>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r>
      <w:r>
        <w:rPr>
          <w:rFonts w:ascii="Times New Roman" w:hAnsi="Times New Roman"/>
          <w:sz w:val="21"/>
        </w:rPr>
        <w:lastRenderedPageBreak/>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lastRenderedPageBreak/>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 xml:space="preserve">The Free Software Foundation may publish revised and/or new versions of the GNU General Public License from </w:t>
      </w:r>
      <w:r>
        <w:rPr>
          <w:rFonts w:ascii="Times New Roman" w:hAnsi="Times New Roman"/>
          <w:sz w:val="21"/>
        </w:rPr>
        <w:lastRenderedPageBreak/>
        <w:t>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lastRenderedPageBreak/>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 xml:space="preserve">The GNU General Public License does not permit incorporating your program into proprietary programs. If your program is a subroutine library, you may consider it more useful to permit linking proprietary applications with the </w:t>
      </w:r>
      <w:r>
        <w:rPr>
          <w:rFonts w:ascii="Times New Roman" w:hAnsi="Times New Roman"/>
          <w:sz w:val="21"/>
        </w:rPr>
        <w:lastRenderedPageBreak/>
        <w:t>library. If this is what you want to do, use the GNU Lesser General Public License instead of this License. But first, please read &lt;https://www.gnu.org/licenses/why-not-lgpl.html&gt;.</w:t>
      </w:r>
    </w:p>
    <w:p w14:paraId="32F5A735"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51C5D72"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C3992EF"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7C6E7B0"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673CC3" w14:textId="77777777" w:rsidR="002E79E9" w:rsidRDefault="002E79E9">
      <w:pPr>
        <w:spacing w:line="240" w:lineRule="auto"/>
      </w:pPr>
      <w:r>
        <w:separator/>
      </w:r>
    </w:p>
  </w:endnote>
  <w:endnote w:type="continuationSeparator" w:id="0">
    <w:p w14:paraId="7A0FBEE9" w14:textId="77777777" w:rsidR="002E79E9" w:rsidRDefault="002E79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7E5B331" w14:textId="77777777">
      <w:tc>
        <w:tcPr>
          <w:tcW w:w="1542" w:type="pct"/>
        </w:tcPr>
        <w:p w14:paraId="79C5EDEB" w14:textId="77777777" w:rsidR="00D63F71" w:rsidRDefault="005D0DE9">
          <w:pPr>
            <w:pStyle w:val="a8"/>
          </w:pPr>
          <w:r>
            <w:fldChar w:fldCharType="begin"/>
          </w:r>
          <w:r>
            <w:instrText xml:space="preserve"> DATE \@ "yyyy-MM-dd" </w:instrText>
          </w:r>
          <w:r>
            <w:fldChar w:fldCharType="separate"/>
          </w:r>
          <w:r w:rsidR="00A42983">
            <w:rPr>
              <w:noProof/>
            </w:rPr>
            <w:t>2024-05-16</w:t>
          </w:r>
          <w:r>
            <w:fldChar w:fldCharType="end"/>
          </w:r>
        </w:p>
      </w:tc>
      <w:tc>
        <w:tcPr>
          <w:tcW w:w="1853" w:type="pct"/>
        </w:tcPr>
        <w:p w14:paraId="39455A3D" w14:textId="77777777" w:rsidR="00D63F71" w:rsidRDefault="00D63F71">
          <w:pPr>
            <w:pStyle w:val="a8"/>
            <w:ind w:firstLineChars="200" w:firstLine="360"/>
          </w:pPr>
        </w:p>
      </w:tc>
      <w:tc>
        <w:tcPr>
          <w:tcW w:w="1605" w:type="pct"/>
        </w:tcPr>
        <w:p w14:paraId="34A3B86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E79E9">
            <w:fldChar w:fldCharType="begin"/>
          </w:r>
          <w:r w:rsidR="002E79E9">
            <w:instrText xml:space="preserve"> NUMPAGES  \* Arabic  \* MERGEFORMAT </w:instrText>
          </w:r>
          <w:r w:rsidR="002E79E9">
            <w:fldChar w:fldCharType="separate"/>
          </w:r>
          <w:r w:rsidR="00B93B3B">
            <w:rPr>
              <w:noProof/>
            </w:rPr>
            <w:t>1</w:t>
          </w:r>
          <w:r w:rsidR="002E79E9">
            <w:rPr>
              <w:noProof/>
            </w:rPr>
            <w:fldChar w:fldCharType="end"/>
          </w:r>
        </w:p>
      </w:tc>
    </w:tr>
  </w:tbl>
  <w:p w14:paraId="121810A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BB8099" w14:textId="77777777" w:rsidR="002E79E9" w:rsidRDefault="002E79E9">
      <w:r>
        <w:separator/>
      </w:r>
    </w:p>
  </w:footnote>
  <w:footnote w:type="continuationSeparator" w:id="0">
    <w:p w14:paraId="77EA7A0E" w14:textId="77777777" w:rsidR="002E79E9" w:rsidRDefault="002E79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87E4C03" w14:textId="77777777">
      <w:trPr>
        <w:cantSplit/>
        <w:trHeight w:hRule="exact" w:val="777"/>
      </w:trPr>
      <w:tc>
        <w:tcPr>
          <w:tcW w:w="492" w:type="pct"/>
          <w:tcBorders>
            <w:bottom w:val="single" w:sz="6" w:space="0" w:color="auto"/>
          </w:tcBorders>
        </w:tcPr>
        <w:p w14:paraId="35EA6B70" w14:textId="77777777" w:rsidR="00D63F71" w:rsidRDefault="00D63F71">
          <w:pPr>
            <w:pStyle w:val="a9"/>
          </w:pPr>
        </w:p>
        <w:p w14:paraId="7D2887D1" w14:textId="77777777" w:rsidR="00D63F71" w:rsidRDefault="00D63F71">
          <w:pPr>
            <w:ind w:left="420"/>
          </w:pPr>
        </w:p>
      </w:tc>
      <w:tc>
        <w:tcPr>
          <w:tcW w:w="3283" w:type="pct"/>
          <w:tcBorders>
            <w:bottom w:val="single" w:sz="6" w:space="0" w:color="auto"/>
          </w:tcBorders>
          <w:vAlign w:val="bottom"/>
        </w:tcPr>
        <w:p w14:paraId="16EF5ED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816A9D5" w14:textId="77777777" w:rsidR="00D63F71" w:rsidRDefault="00D63F71">
          <w:pPr>
            <w:pStyle w:val="a9"/>
            <w:ind w:firstLine="33"/>
          </w:pPr>
        </w:p>
      </w:tc>
    </w:tr>
  </w:tbl>
  <w:p w14:paraId="4036DDD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9E9"/>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2983"/>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3498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18</Pages>
  <Words>8042</Words>
  <Characters>45842</Characters>
  <Application>Microsoft Office Word</Application>
  <DocSecurity>0</DocSecurity>
  <Lines>382</Lines>
  <Paragraphs>107</Paragraphs>
  <ScaleCrop>false</ScaleCrop>
  <Company>Huawei Technologies Co.,Ltd.</Company>
  <LinksUpToDate>false</LinksUpToDate>
  <CharactersWithSpaces>53777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